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D" w:rsidRDefault="0072601D" w:rsidP="0072601D">
      <w:pPr>
        <w:spacing w:after="12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МАТЕРИАЛЫ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:rsidR="0072601D" w:rsidRDefault="0072601D" w:rsidP="0072601D">
      <w:pPr>
        <w:rPr>
          <w:rFonts w:ascii="Times New Roman" w:hAnsi="Times New Roman"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по данным материалам </w:t>
      </w:r>
      <w:proofErr w:type="gramStart"/>
      <w:r>
        <w:rPr>
          <w:rFonts w:ascii="Times New Roman" w:hAnsi="Times New Roman"/>
          <w:i/>
          <w:sz w:val="30"/>
          <w:szCs w:val="30"/>
        </w:rPr>
        <w:t>разработана</w:t>
      </w:r>
      <w:proofErr w:type="gramEnd"/>
      <w:r>
        <w:rPr>
          <w:rFonts w:ascii="Times New Roman" w:hAnsi="Times New Roman"/>
          <w:i/>
          <w:sz w:val="30"/>
          <w:szCs w:val="30"/>
        </w:rPr>
        <w:t xml:space="preserve"> Белорусским телеграфным агентством и размещена на его сайте в разделе «</w:t>
      </w:r>
      <w:proofErr w:type="spellStart"/>
      <w:r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/>
          <w:i/>
          <w:sz w:val="30"/>
          <w:szCs w:val="30"/>
        </w:rPr>
        <w:t>» (</w:t>
      </w:r>
      <w:hyperlink r:id="rId8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: «</w:t>
      </w:r>
      <w:r>
        <w:rPr>
          <w:rFonts w:ascii="Times New Roman" w:hAnsi="Times New Roman"/>
          <w:b/>
          <w:sz w:val="30"/>
          <w:szCs w:val="30"/>
        </w:rPr>
        <w:t xml:space="preserve">Фундамент успешного развития государства – сильная экономика, </w:t>
      </w:r>
      <w:proofErr w:type="gramStart"/>
      <w:r>
        <w:rPr>
          <w:rFonts w:ascii="Times New Roman" w:hAnsi="Times New Roman"/>
          <w:b/>
          <w:sz w:val="30"/>
          <w:szCs w:val="30"/>
        </w:rPr>
        <w:t>поэтому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</w:t>
      </w:r>
      <w:proofErr w:type="gramStart"/>
      <w:r>
        <w:rPr>
          <w:rFonts w:ascii="Times New Roman" w:hAnsi="Times New Roman"/>
          <w:sz w:val="30"/>
          <w:szCs w:val="30"/>
        </w:rPr>
        <w:t>ии ОО</w:t>
      </w:r>
      <w:proofErr w:type="gramEnd"/>
      <w:r>
        <w:rPr>
          <w:rFonts w:ascii="Times New Roman" w:hAnsi="Times New Roman"/>
          <w:sz w:val="30"/>
          <w:szCs w:val="30"/>
        </w:rPr>
        <w:t xml:space="preserve">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</w:t>
      </w:r>
      <w:r>
        <w:rPr>
          <w:rFonts w:ascii="Times New Roman" w:hAnsi="Times New Roman"/>
          <w:sz w:val="30"/>
          <w:szCs w:val="30"/>
        </w:rPr>
        <w:lastRenderedPageBreak/>
        <w:t xml:space="preserve">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72601D" w:rsidRPr="0072601D" w:rsidRDefault="00AA12C5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9" w:tgtFrame="_blank" w:tooltip="Указ Президента Республики Беларусь от 31 октября 2019 г. №40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72601D" w:rsidRPr="0072601D">
          <w:rPr>
            <w:sz w:val="30"/>
            <w:szCs w:val="30"/>
          </w:rPr>
          <w:br/>
        </w:r>
        <w:r w:rsidR="0072601D" w:rsidRPr="0072601D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72601D" w:rsidRPr="0072601D">
        <w:rPr>
          <w:sz w:val="30"/>
          <w:szCs w:val="30"/>
        </w:rPr>
        <w:t>;</w:t>
      </w:r>
    </w:p>
    <w:p w:rsidR="0072601D" w:rsidRDefault="00AA12C5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 27 декабря 2019 г. №921 «О задачах социально-экономического развития Республики Беларусь на 2020 год»</w:t>
        </w:r>
      </w:hyperlink>
      <w:r w:rsidR="0072601D">
        <w:rPr>
          <w:sz w:val="28"/>
          <w:szCs w:val="28"/>
        </w:rPr>
        <w:t>;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районов и городов областного подчинения.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мероприятий государственных программ на пятилетний период, финансируемых за счет средств местных бюджетов, на уровне областей,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, районов и городов областного подчинения формируются региональные комплексы мероприятий.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72601D" w:rsidRDefault="0072601D" w:rsidP="0072601D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72601D" w:rsidRDefault="0072601D" w:rsidP="0072601D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:rsidR="0072601D" w:rsidRDefault="0072601D" w:rsidP="0072601D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proofErr w:type="gramStart"/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  <w:proofErr w:type="gramEnd"/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72601D" w:rsidRDefault="0072601D" w:rsidP="0072601D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областях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ВРП сложился на уровне предыдущего года, в Гродненской области допущено падение ВРП до 99,6% к 2018 году.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Основная доля ВРП формируется предприятиями промышленного комплекса.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.Ш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</w:t>
      </w:r>
      <w:r w:rsidR="00633C79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72601D" w:rsidRDefault="0072601D" w:rsidP="0072601D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Вниманию 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t>выступающих</w:t>
      </w:r>
      <w:proofErr w:type="gramEnd"/>
      <w:r>
        <w:rPr>
          <w:rFonts w:ascii="Times New Roman" w:hAnsi="Times New Roman"/>
          <w:i/>
          <w:sz w:val="30"/>
          <w:szCs w:val="30"/>
        </w:rPr>
        <w:t xml:space="preserve">: в ходе проведения единого дня информирования целесообразно приводить соответствующие сведения </w:t>
      </w:r>
      <w:r>
        <w:rPr>
          <w:rFonts w:ascii="Times New Roman" w:hAnsi="Times New Roman"/>
          <w:i/>
          <w:sz w:val="30"/>
          <w:szCs w:val="30"/>
        </w:rPr>
        <w:lastRenderedPageBreak/>
        <w:t>и примеры применительно к конкретному региону, территории, населенному пункту.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</w:t>
      </w:r>
      <w:proofErr w:type="gramStart"/>
      <w:r>
        <w:rPr>
          <w:rFonts w:ascii="Times New Roman" w:hAnsi="Times New Roman"/>
          <w:i/>
          <w:spacing w:val="-6"/>
          <w:sz w:val="28"/>
          <w:szCs w:val="30"/>
        </w:rPr>
        <w:t>.М</w:t>
      </w:r>
      <w:proofErr w:type="gramEnd"/>
      <w:r>
        <w:rPr>
          <w:rFonts w:ascii="Times New Roman" w:hAnsi="Times New Roman"/>
          <w:i/>
          <w:spacing w:val="-6"/>
          <w:sz w:val="28"/>
          <w:szCs w:val="30"/>
        </w:rPr>
        <w:t>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:rsidR="0072601D" w:rsidRDefault="0072601D" w:rsidP="00B5118E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proofErr w:type="gramStart"/>
      <w:r>
        <w:rPr>
          <w:rFonts w:ascii="Times New Roman" w:hAnsi="Times New Roman"/>
          <w:b/>
          <w:spacing w:val="-6"/>
          <w:sz w:val="30"/>
          <w:szCs w:val="30"/>
        </w:rPr>
        <w:t>областях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кроме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Гомельской. «Год был хороший. Не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идеальный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– хороший», – отметил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тыс.кв</w:t>
      </w:r>
      <w:proofErr w:type="gramStart"/>
      <w:r>
        <w:rPr>
          <w:rFonts w:ascii="Times New Roman" w:hAnsi="Times New Roman"/>
          <w:spacing w:val="-6"/>
          <w:kern w:val="28"/>
          <w:sz w:val="30"/>
          <w:szCs w:val="30"/>
        </w:rPr>
        <w:t>.м</w:t>
      </w:r>
      <w:proofErr w:type="spellEnd"/>
      <w:proofErr w:type="gram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</w:t>
      </w:r>
      <w:proofErr w:type="gramStart"/>
      <w:r>
        <w:rPr>
          <w:rFonts w:ascii="Times New Roman" w:hAnsi="Times New Roman"/>
          <w:spacing w:val="-6"/>
          <w:kern w:val="28"/>
          <w:sz w:val="30"/>
          <w:szCs w:val="30"/>
        </w:rPr>
        <w:t>Брестской</w:t>
      </w:r>
      <w:proofErr w:type="gram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(16,9% к республиканскому объему) и Минской (31,1%)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тыс.кв</w:t>
      </w:r>
      <w:proofErr w:type="gramStart"/>
      <w:r>
        <w:rPr>
          <w:rFonts w:ascii="Times New Roman" w:hAnsi="Times New Roman"/>
          <w:spacing w:val="-6"/>
          <w:kern w:val="28"/>
          <w:sz w:val="30"/>
          <w:szCs w:val="30"/>
        </w:rPr>
        <w:t>.м</w:t>
      </w:r>
      <w:proofErr w:type="spellEnd"/>
      <w:proofErr w:type="gram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тыс.кв</w:t>
      </w:r>
      <w:proofErr w:type="gramStart"/>
      <w:r>
        <w:rPr>
          <w:rFonts w:ascii="Times New Roman" w:hAnsi="Times New Roman"/>
          <w:spacing w:val="-6"/>
          <w:kern w:val="28"/>
          <w:sz w:val="30"/>
          <w:szCs w:val="30"/>
        </w:rPr>
        <w:t>.м</w:t>
      </w:r>
      <w:proofErr w:type="spellEnd"/>
      <w:proofErr w:type="gram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, в том числе в Брестской области – 19 объектов, Витебской – 16, Гомельской – 19, Гродненской – 11, Минской – 10, Могилевской области</w:t>
      </w:r>
      <w:r w:rsidR="00B5118E">
        <w:rPr>
          <w:rFonts w:ascii="Times New Roman" w:eastAsia="Arial Unicode MS" w:hAnsi="Times New Roman"/>
          <w:i/>
          <w:spacing w:val="-6"/>
          <w:sz w:val="28"/>
          <w:szCs w:val="28"/>
        </w:rPr>
        <w:t> 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</w:t>
      </w:r>
      <w:proofErr w:type="gram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.М</w:t>
      </w:r>
      <w:proofErr w:type="gramEnd"/>
      <w:r>
        <w:rPr>
          <w:rFonts w:ascii="Times New Roman" w:eastAsia="Arial Unicode MS" w:hAnsi="Times New Roman"/>
          <w:i/>
          <w:spacing w:val="-6"/>
          <w:sz w:val="28"/>
          <w:szCs w:val="28"/>
        </w:rPr>
        <w:t>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</w:t>
      </w:r>
      <w:proofErr w:type="gram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.М</w:t>
      </w:r>
      <w:proofErr w:type="gramEnd"/>
      <w:r>
        <w:rPr>
          <w:rFonts w:ascii="Times New Roman" w:eastAsia="Arial Unicode MS" w:hAnsi="Times New Roman"/>
          <w:b/>
          <w:spacing w:val="-6"/>
          <w:sz w:val="30"/>
          <w:szCs w:val="30"/>
        </w:rPr>
        <w:t>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="00B5118E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>– отмечал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</w:t>
      </w:r>
      <w:proofErr w:type="gramStart"/>
      <w:r>
        <w:rPr>
          <w:rFonts w:ascii="Times New Roman" w:eastAsia="Arial Unicode MS" w:hAnsi="Times New Roman"/>
          <w:spacing w:val="-6"/>
          <w:sz w:val="30"/>
          <w:szCs w:val="30"/>
        </w:rPr>
        <w:t>дств пл</w:t>
      </w:r>
      <w:proofErr w:type="gramEnd"/>
      <w:r>
        <w:rPr>
          <w:rFonts w:ascii="Times New Roman" w:eastAsia="Arial Unicode MS" w:hAnsi="Times New Roman"/>
          <w:spacing w:val="-6"/>
          <w:sz w:val="30"/>
          <w:szCs w:val="30"/>
        </w:rPr>
        <w:t>атежа. Расширяется сеть объектов системы TAX FREE.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Значительным стимулом для поднятия экономики регионов и, соответственно, всей Республики Беларусь являются инвестиции.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lastRenderedPageBreak/>
        <w:t>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</w:t>
      </w:r>
      <w:proofErr w:type="gramEnd"/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темп (105,7%): в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Брестской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(106%), Витебской (106,2%), Гомельской (115,6%), Минской (112,6%), Могилевской (109,8%).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>.Б</w:t>
      </w:r>
      <w:proofErr w:type="gramEnd"/>
      <w:r>
        <w:rPr>
          <w:rFonts w:ascii="Times New Roman" w:hAnsi="Times New Roman"/>
          <w:i/>
          <w:spacing w:val="-6"/>
          <w:sz w:val="28"/>
          <w:szCs w:val="28"/>
        </w:rPr>
        <w:t>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</w:t>
      </w: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>
        <w:rPr>
          <w:rFonts w:ascii="Times New Roman" w:hAnsi="Times New Roman"/>
          <w:i/>
          <w:spacing w:val="-6"/>
          <w:sz w:val="28"/>
          <w:szCs w:val="28"/>
        </w:rPr>
        <w:t xml:space="preserve">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</w:t>
      </w:r>
      <w:proofErr w:type="gramStart"/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дств в ф</w:t>
      </w:r>
      <w:proofErr w:type="gramEnd"/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pacing w:val="-6"/>
          <w:sz w:val="28"/>
          <w:szCs w:val="28"/>
        </w:rPr>
        <w:t>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. Первая очередь строительства. Реконструкция химического цеха № 2 производства органического </w:t>
      </w:r>
      <w:r>
        <w:rPr>
          <w:rFonts w:ascii="Times New Roman" w:hAnsi="Times New Roman"/>
          <w:i/>
          <w:spacing w:val="-6"/>
          <w:sz w:val="28"/>
          <w:szCs w:val="28"/>
        </w:rPr>
        <w:lastRenderedPageBreak/>
        <w:t>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i/>
          <w:spacing w:val="-6"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i/>
          <w:spacing w:val="-6"/>
          <w:sz w:val="28"/>
          <w:szCs w:val="28"/>
        </w:rPr>
        <w:t>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proofErr w:type="gramStart"/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proofErr w:type="gramEnd"/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</w:t>
      </w:r>
      <w:proofErr w:type="gramStart"/>
      <w:r>
        <w:rPr>
          <w:rFonts w:ascii="Times New Roman" w:hAnsi="Times New Roman"/>
          <w:b/>
          <w:spacing w:val="-6"/>
          <w:sz w:val="30"/>
          <w:szCs w:val="30"/>
        </w:rPr>
        <w:t>млн</w:t>
      </w:r>
      <w:proofErr w:type="gramEnd"/>
      <w:r>
        <w:rPr>
          <w:rFonts w:ascii="Times New Roman" w:hAnsi="Times New Roman"/>
          <w:b/>
          <w:spacing w:val="-6"/>
          <w:sz w:val="30"/>
          <w:szCs w:val="30"/>
        </w:rPr>
        <w:t xml:space="preserve">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</w:t>
      </w: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>
        <w:rPr>
          <w:rFonts w:ascii="Times New Roman" w:hAnsi="Times New Roman"/>
          <w:i/>
          <w:spacing w:val="-6"/>
          <w:sz w:val="28"/>
          <w:szCs w:val="28"/>
        </w:rPr>
        <w:t xml:space="preserve"> долл., или 5%, Витебская – 42,5 млн долл., или 3,5%, Гомельская – 77,1 млн долл., или 6,3%, Гродненская – 45,9 млн долл., или 3,7%.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b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b/>
          <w:spacing w:val="-6"/>
          <w:sz w:val="30"/>
          <w:szCs w:val="30"/>
        </w:rPr>
        <w:t>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72601D" w:rsidRDefault="0072601D" w:rsidP="0072601D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 xml:space="preserve">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  <w:proofErr w:type="gramEnd"/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развития малого и среднего предпринимательства «Беларусь – страна успешного предпринимательства» на период до 2030 года.</w:t>
      </w:r>
    </w:p>
    <w:p w:rsidR="0072601D" w:rsidRDefault="0072601D" w:rsidP="0072601D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 w:rsidR="00633C79"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72601D" w:rsidRDefault="0072601D" w:rsidP="00726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</w:t>
      </w:r>
      <w:proofErr w:type="gramStart"/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, малых и средних предприятий, а также иных предприятий, нацеленных на решение социально-значимых проблем.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  <w:proofErr w:type="gramEnd"/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«Содействие занятости и </w:t>
      </w: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>.Г</w:t>
      </w:r>
      <w:proofErr w:type="gramEnd"/>
      <w:r>
        <w:rPr>
          <w:rFonts w:ascii="Times New Roman" w:hAnsi="Times New Roman"/>
          <w:i/>
          <w:spacing w:val="-6"/>
          <w:sz w:val="28"/>
          <w:szCs w:val="28"/>
        </w:rPr>
        <w:t>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72601D" w:rsidRDefault="0072601D" w:rsidP="0072601D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(трудно найти такую страну): в течение дня зарегистрировался и </w:t>
      </w:r>
      <w:proofErr w:type="gramStart"/>
      <w:r>
        <w:rPr>
          <w:rFonts w:ascii="Times New Roman" w:hAnsi="Times New Roman"/>
          <w:b/>
          <w:sz w:val="30"/>
          <w:szCs w:val="30"/>
          <w:shd w:val="clear" w:color="auto" w:fill="FFFFFF"/>
        </w:rPr>
        <w:t>иди</w:t>
      </w:r>
      <w:proofErr w:type="gramEnd"/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млрд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b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b/>
          <w:spacing w:val="-6"/>
          <w:sz w:val="30"/>
          <w:szCs w:val="30"/>
        </w:rPr>
        <w:t>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Arial" w:hAnsi="Arial" w:cs="Arial"/>
          <w:color w:val="40404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</w:t>
      </w:r>
      <w:proofErr w:type="gramStart"/>
      <w:r>
        <w:rPr>
          <w:rFonts w:ascii="Times New Roman" w:eastAsia="Arial Unicode MS" w:hAnsi="Times New Roman"/>
          <w:spacing w:val="-6"/>
          <w:sz w:val="30"/>
          <w:szCs w:val="30"/>
        </w:rPr>
        <w:t>млн</w:t>
      </w:r>
      <w:proofErr w:type="gram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>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</w:t>
      </w:r>
      <w:proofErr w:type="gramStart"/>
      <w:r>
        <w:rPr>
          <w:rFonts w:ascii="Times New Roman" w:eastAsia="Arial Unicode MS" w:hAnsi="Times New Roman"/>
          <w:spacing w:val="-6"/>
          <w:sz w:val="30"/>
          <w:szCs w:val="30"/>
        </w:rPr>
        <w:t>млрд</w:t>
      </w:r>
      <w:proofErr w:type="gram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долл.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импортозамещения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. Привозные товарные позиции в основном представлены сырьем и материалами, не производимыми в республике.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72601D" w:rsidRDefault="0072601D" w:rsidP="0072601D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72601D" w:rsidRDefault="0072601D" w:rsidP="0072601D">
      <w:pPr>
        <w:pStyle w:val="150"/>
        <w:ind w:firstLineChars="0" w:firstLine="709"/>
        <w:rPr>
          <w:rFonts w:eastAsia="Calibri"/>
        </w:rPr>
      </w:pPr>
      <w:proofErr w:type="gramStart"/>
      <w:r>
        <w:rPr>
          <w:spacing w:val="-6"/>
        </w:rPr>
        <w:t xml:space="preserve">Как неоднократно подчеркивал Президент Республики Беларусь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>, «останавливаться на достигнутом недопустимо», несмотря на поступательное развитие регионов.</w:t>
      </w:r>
      <w:proofErr w:type="gramEnd"/>
      <w:r>
        <w:rPr>
          <w:spacing w:val="-6"/>
        </w:rPr>
        <w:t xml:space="preserve">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72601D" w:rsidRDefault="0072601D" w:rsidP="0072601D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pacing w:val="-6"/>
          <w:sz w:val="30"/>
          <w:szCs w:val="30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</w:t>
      </w:r>
      <w:proofErr w:type="gram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Оршанский, Полоцкий,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Лидский,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</w:t>
      </w:r>
      <w:proofErr w:type="gram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Развитие столицы необходимо сконцентрировать на выполнении </w:t>
      </w:r>
      <w:r>
        <w:rPr>
          <w:rFonts w:ascii="Times New Roman" w:eastAsia="Times New Roman" w:hAnsi="Times New Roman"/>
          <w:spacing w:val="-6"/>
          <w:sz w:val="30"/>
          <w:szCs w:val="30"/>
        </w:rPr>
        <w:lastRenderedPageBreak/>
        <w:t>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72601D" w:rsidRDefault="0072601D" w:rsidP="0072601D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i/>
          <w:spacing w:val="-6"/>
          <w:sz w:val="28"/>
          <w:szCs w:val="28"/>
        </w:rPr>
        <w:t>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Промышленный комплекс столицы должен развиваться по пути создания и модернизации наукоемких компактных производств, отвечающих запросам по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экологичности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72601D" w:rsidRDefault="0072601D" w:rsidP="007260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lastRenderedPageBreak/>
        <w:t xml:space="preserve">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72601D" w:rsidRDefault="0072601D" w:rsidP="007260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Важно сформировать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инновационно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72601D" w:rsidRDefault="0072601D" w:rsidP="0072601D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 xml:space="preserve">Рассмотрим перспективы развития </w:t>
      </w:r>
      <w:r w:rsidR="00B5118E">
        <w:rPr>
          <w:b/>
          <w:spacing w:val="-6"/>
        </w:rPr>
        <w:t>Гомельской</w:t>
      </w:r>
      <w:r>
        <w:rPr>
          <w:b/>
          <w:spacing w:val="-6"/>
        </w:rPr>
        <w:t xml:space="preserve"> области.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Главной целью развития Гомельской области является </w:t>
      </w:r>
      <w:r>
        <w:rPr>
          <w:rFonts w:ascii="Times New Roman" w:hAnsi="Times New Roman"/>
          <w:bCs/>
          <w:spacing w:val="-6"/>
          <w:sz w:val="30"/>
          <w:szCs w:val="30"/>
        </w:rPr>
        <w:t>выход на траекторию поступательного роста социально-экономического развития региона и обеспечение достойного уровня качества жизни населения.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В Гомельской области в 2020 году планируется реализация </w:t>
      </w:r>
      <w:r>
        <w:rPr>
          <w:rFonts w:ascii="Times New Roman" w:hAnsi="Times New Roman"/>
          <w:spacing w:val="-6"/>
          <w:sz w:val="30"/>
          <w:szCs w:val="30"/>
        </w:rPr>
        <w:br/>
        <w:t>ряда инвестиционных проектов, в том числе предусмотренных Программой социально-экономического развития Гомельской области на 2016–2020 годы. В их числе: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комплекс гидрокрекинга тяжелых нефтяных остатков в ОАО 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Мозырский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НПЗ»;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промышленная разработка Петриковского месторождения калийных солей со строительством и вводом в эксплуатацию горно-обогатительного комплекса мощностью 1,5 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>млн</w:t>
      </w:r>
      <w:proofErr w:type="gramEnd"/>
      <w:r w:rsidR="00633C79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тонн хлорида калия в год (инвестор – </w:t>
      </w:r>
      <w:r>
        <w:rPr>
          <w:rFonts w:ascii="Times New Roman" w:hAnsi="Times New Roman"/>
          <w:spacing w:val="-6"/>
          <w:sz w:val="30"/>
          <w:szCs w:val="30"/>
        </w:rPr>
        <w:br/>
        <w:t>ОАО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Беларуськалий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»);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СветлогорскХимволокно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» реализуется проект по увеличению выпуска полипропиленовой ткани и контейнеров типа «Биг-бег»;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ОАО «БМЗ – управляющая компания холдинга «БМК» продолжит комплексную реконструкцию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пылегазоулавливающей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установки, что позволит обеспечить снижение объемов выбросов загрязняющих веществ в атмосферу;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«Завод торфяного машиностроения «Большевик» планирует освоить выпуск новой продукции (полувагоны узкой колеи новой модификации);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«Светлогорский ЦКК» планирует вывести на проектную мощность завод по производству сульфатной беленой целлюлозы мощностью 400 тыс. тонн в год, в том числе производство вискозной целлюлозы, что позволит полностью обеспечить целлюлозно-бумажные предприятия Республики Беларусь высококачественным волокнистым сырьем, а излишки экспортировать на рынки ближнего и дальнего зарубежья. Вовлечение в оборот неиспользуемых лиственных пород даст толчок развитию лесозаготовок, дорожному строительству, машиностроению.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«УКХ «Белорусские обои» продолжит в 2020 году техническое переоснащение филиала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Добрушская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бумажная фабрика «Герой труда» с организацией производства мелованных и немелованных видов картона «под ключ».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Особое внимание уделяется развитию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«чернобыльских территорий»</w:t>
      </w:r>
      <w:r>
        <w:rPr>
          <w:rFonts w:ascii="Times New Roman" w:hAnsi="Times New Roman"/>
          <w:spacing w:val="-6"/>
          <w:sz w:val="30"/>
          <w:szCs w:val="30"/>
        </w:rPr>
        <w:t xml:space="preserve"> Гомельской области на принципах </w:t>
      </w:r>
      <w:r>
        <w:rPr>
          <w:rFonts w:ascii="Times New Roman" w:hAnsi="Times New Roman"/>
          <w:b/>
          <w:spacing w:val="-6"/>
          <w:sz w:val="30"/>
          <w:szCs w:val="30"/>
        </w:rPr>
        <w:t>устойчивого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: реализация специальных инновационных проектов по развитию пострадавших районов. </w:t>
      </w:r>
    </w:p>
    <w:p w:rsidR="0072601D" w:rsidRDefault="0072601D" w:rsidP="0072601D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72601D" w:rsidRDefault="0072601D" w:rsidP="0072601D">
      <w:pPr>
        <w:widowControl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Под «чернобыльскими территориями» Гомельской области подразумеваются наиболее пострадавшие районы: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Кормянский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Чечерский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Ветковский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Добрушский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>, Буда-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Кошелевский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Рогачевский, Брагинский,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Наровлянский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Ельский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Лоевский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Речицкий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>, Гомельский.</w:t>
      </w:r>
    </w:p>
    <w:p w:rsidR="0072601D" w:rsidRDefault="0072601D" w:rsidP="0072601D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72601D" w:rsidRDefault="0072601D" w:rsidP="0072601D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72601D" w:rsidRDefault="0072601D" w:rsidP="0072601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, прежде </w:t>
      </w:r>
      <w:proofErr w:type="gramStart"/>
      <w:r>
        <w:rPr>
          <w:rFonts w:ascii="Times New Roman" w:hAnsi="Times New Roman"/>
          <w:sz w:val="30"/>
          <w:szCs w:val="30"/>
        </w:rPr>
        <w:t>всего</w:t>
      </w:r>
      <w:proofErr w:type="gramEnd"/>
      <w:r>
        <w:rPr>
          <w:rFonts w:ascii="Times New Roman" w:hAnsi="Times New Roman"/>
          <w:sz w:val="30"/>
          <w:szCs w:val="30"/>
        </w:rPr>
        <w:t xml:space="preserve">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 xml:space="preserve">И перед нами стоит </w:t>
      </w:r>
      <w:proofErr w:type="gramStart"/>
      <w:r>
        <w:rPr>
          <w:b/>
          <w:spacing w:val="-6"/>
        </w:rPr>
        <w:t>задача</w:t>
      </w:r>
      <w:proofErr w:type="gramEnd"/>
      <w:r>
        <w:rPr>
          <w:b/>
          <w:spacing w:val="-6"/>
        </w:rPr>
        <w:t xml:space="preserve">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>
        <w:t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</w:t>
      </w:r>
      <w:r w:rsidR="00B5118E">
        <w:t> </w:t>
      </w:r>
      <w:r>
        <w:t xml:space="preserve">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:rsidR="009A68D7" w:rsidRDefault="009A68D7"/>
    <w:sectPr w:rsidR="009A68D7" w:rsidSect="00633C7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C5" w:rsidRDefault="00AA12C5" w:rsidP="00633C79">
      <w:pPr>
        <w:spacing w:after="0" w:line="240" w:lineRule="auto"/>
      </w:pPr>
      <w:r>
        <w:separator/>
      </w:r>
    </w:p>
  </w:endnote>
  <w:endnote w:type="continuationSeparator" w:id="0">
    <w:p w:rsidR="00AA12C5" w:rsidRDefault="00AA12C5" w:rsidP="006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C5" w:rsidRDefault="00AA12C5" w:rsidP="00633C79">
      <w:pPr>
        <w:spacing w:after="0" w:line="240" w:lineRule="auto"/>
      </w:pPr>
      <w:r>
        <w:separator/>
      </w:r>
    </w:p>
  </w:footnote>
  <w:footnote w:type="continuationSeparator" w:id="0">
    <w:p w:rsidR="00AA12C5" w:rsidRDefault="00AA12C5" w:rsidP="006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5154"/>
      <w:docPartObj>
        <w:docPartGallery w:val="Page Numbers (Top of Page)"/>
        <w:docPartUnique/>
      </w:docPartObj>
    </w:sdtPr>
    <w:sdtEndPr/>
    <w:sdtContent>
      <w:p w:rsidR="00633C79" w:rsidRDefault="00633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8A">
          <w:rPr>
            <w:noProof/>
          </w:rPr>
          <w:t>2</w:t>
        </w:r>
        <w:r>
          <w:fldChar w:fldCharType="end"/>
        </w:r>
      </w:p>
    </w:sdtContent>
  </w:sdt>
  <w:p w:rsidR="00633C79" w:rsidRDefault="00633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4"/>
    <w:rsid w:val="004E7024"/>
    <w:rsid w:val="00500574"/>
    <w:rsid w:val="00633C79"/>
    <w:rsid w:val="0072601D"/>
    <w:rsid w:val="007701E2"/>
    <w:rsid w:val="009A17D7"/>
    <w:rsid w:val="009A68D7"/>
    <w:rsid w:val="009E52E4"/>
    <w:rsid w:val="00AA12C5"/>
    <w:rsid w:val="00AD4C8A"/>
    <w:rsid w:val="00B5118E"/>
    <w:rsid w:val="00BE2F7C"/>
    <w:rsid w:val="00D34CBA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4C8A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C8A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4C8A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C8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Баркова</cp:lastModifiedBy>
  <cp:revision>2</cp:revision>
  <cp:lastPrinted>2020-03-14T12:58:00Z</cp:lastPrinted>
  <dcterms:created xsi:type="dcterms:W3CDTF">2020-03-14T12:59:00Z</dcterms:created>
  <dcterms:modified xsi:type="dcterms:W3CDTF">2020-03-14T12:59:00Z</dcterms:modified>
</cp:coreProperties>
</file>